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45" w:rsidRDefault="00567E45" w:rsidP="00567E45">
      <w:pPr>
        <w:widowControl w:val="0"/>
        <w:jc w:val="center"/>
        <w:rPr>
          <w:b/>
          <w:sz w:val="28"/>
          <w:szCs w:val="28"/>
        </w:rPr>
      </w:pPr>
      <w:r>
        <w:rPr>
          <w:b/>
          <w:sz w:val="28"/>
          <w:szCs w:val="28"/>
        </w:rPr>
        <w:t>Рабочая программа дисциплины «Основы охраны труда и техники безопасности»</w:t>
      </w:r>
    </w:p>
    <w:p w:rsidR="00567E45" w:rsidRDefault="00567E45" w:rsidP="00567E45">
      <w:pPr>
        <w:pStyle w:val="2"/>
        <w:keepLines w:val="0"/>
        <w:numPr>
          <w:ilvl w:val="1"/>
          <w:numId w:val="1"/>
        </w:numPr>
        <w:tabs>
          <w:tab w:val="num" w:pos="0"/>
        </w:tabs>
        <w:suppressAutoHyphens/>
        <w:spacing w:before="0" w:line="276" w:lineRule="auto"/>
        <w:ind w:left="0"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КАЛЕНДАРНО -ТЕМАТИЧЕСКИЙ ПЛАН</w:t>
      </w:r>
    </w:p>
    <w:tbl>
      <w:tblPr>
        <w:tblW w:w="9630" w:type="dxa"/>
        <w:tblInd w:w="137" w:type="dxa"/>
        <w:shd w:val="clear" w:color="auto" w:fill="FFFFFF"/>
        <w:tblLayout w:type="fixed"/>
        <w:tblCellMar>
          <w:left w:w="0" w:type="dxa"/>
          <w:right w:w="0" w:type="dxa"/>
        </w:tblCellMar>
        <w:tblLook w:val="04A0" w:firstRow="1" w:lastRow="0" w:firstColumn="1" w:lastColumn="0" w:noHBand="0" w:noVBand="1"/>
      </w:tblPr>
      <w:tblGrid>
        <w:gridCol w:w="703"/>
        <w:gridCol w:w="2834"/>
        <w:gridCol w:w="850"/>
        <w:gridCol w:w="4251"/>
        <w:gridCol w:w="992"/>
      </w:tblGrid>
      <w:tr w:rsidR="00567E45" w:rsidTr="00567E45">
        <w:trPr>
          <w:trHeight w:val="872"/>
        </w:trPr>
        <w:tc>
          <w:tcPr>
            <w:tcW w:w="7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jc w:val="center"/>
              <w:rPr>
                <w:sz w:val="24"/>
                <w:szCs w:val="24"/>
                <w:lang w:eastAsia="en-US"/>
              </w:rPr>
            </w:pPr>
            <w:r>
              <w:rPr>
                <w:sz w:val="24"/>
                <w:szCs w:val="24"/>
                <w:lang w:eastAsia="en-US"/>
              </w:rPr>
              <w:t>№</w:t>
            </w:r>
          </w:p>
          <w:p w:rsidR="00567E45" w:rsidRDefault="00567E45">
            <w:pPr>
              <w:spacing w:line="256" w:lineRule="auto"/>
              <w:jc w:val="center"/>
              <w:rPr>
                <w:sz w:val="24"/>
                <w:szCs w:val="24"/>
                <w:lang w:eastAsia="en-US"/>
              </w:rPr>
            </w:pPr>
            <w:r>
              <w:rPr>
                <w:sz w:val="24"/>
                <w:szCs w:val="24"/>
                <w:lang w:eastAsia="en-US"/>
              </w:rPr>
              <w:t>п/п</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Наименование раздела</w:t>
            </w:r>
          </w:p>
        </w:tc>
        <w:tc>
          <w:tcPr>
            <w:tcW w:w="850" w:type="dxa"/>
            <w:tcBorders>
              <w:top w:val="single" w:sz="4" w:space="0" w:color="auto"/>
              <w:left w:val="nil"/>
              <w:bottom w:val="single" w:sz="4" w:space="0" w:color="auto"/>
              <w:right w:val="single" w:sz="4" w:space="0" w:color="auto"/>
            </w:tcBorders>
            <w:shd w:val="clear" w:color="auto" w:fill="auto"/>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Общее количество часов</w:t>
            </w:r>
          </w:p>
        </w:tc>
        <w:tc>
          <w:tcPr>
            <w:tcW w:w="4253" w:type="dxa"/>
            <w:tcBorders>
              <w:top w:val="single" w:sz="4" w:space="0" w:color="auto"/>
              <w:left w:val="nil"/>
              <w:bottom w:val="single" w:sz="4" w:space="0" w:color="auto"/>
              <w:right w:val="single" w:sz="4" w:space="0" w:color="auto"/>
            </w:tcBorders>
            <w:shd w:val="clear" w:color="auto" w:fill="auto"/>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Наименование тем</w:t>
            </w:r>
          </w:p>
        </w:tc>
        <w:tc>
          <w:tcPr>
            <w:tcW w:w="992" w:type="dxa"/>
            <w:tcBorders>
              <w:top w:val="single" w:sz="4" w:space="0" w:color="auto"/>
              <w:left w:val="nil"/>
              <w:bottom w:val="single" w:sz="4" w:space="0" w:color="auto"/>
              <w:right w:val="single" w:sz="4" w:space="0" w:color="auto"/>
            </w:tcBorders>
            <w:shd w:val="clear" w:color="auto" w:fill="auto"/>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Количество часов</w:t>
            </w:r>
          </w:p>
        </w:tc>
      </w:tr>
      <w:tr w:rsidR="00567E45" w:rsidTr="00567E45">
        <w:trPr>
          <w:trHeight w:val="240"/>
        </w:trPr>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1.</w:t>
            </w:r>
          </w:p>
        </w:tc>
        <w:tc>
          <w:tcPr>
            <w:tcW w:w="28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r>
              <w:rPr>
                <w:sz w:val="24"/>
                <w:szCs w:val="24"/>
                <w:lang w:eastAsia="en-US"/>
              </w:rPr>
              <w:t>Основы промышленной безопасности и охраны труда в организации</w:t>
            </w:r>
          </w:p>
        </w:tc>
        <w:tc>
          <w:tcPr>
            <w:tcW w:w="850" w:type="dxa"/>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4</w:t>
            </w: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Распределение обязанностей работодателем</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1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single" w:sz="4" w:space="0" w:color="auto"/>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Создание службы ОТ</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85"/>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single" w:sz="4" w:space="0" w:color="auto"/>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Обучение и проверка знаний работников</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30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single" w:sz="4" w:space="0" w:color="auto"/>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Обучение работников для работы на производстве</w:t>
            </w: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360"/>
        </w:trPr>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2.</w:t>
            </w:r>
          </w:p>
        </w:tc>
        <w:tc>
          <w:tcPr>
            <w:tcW w:w="28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r>
              <w:rPr>
                <w:sz w:val="24"/>
                <w:szCs w:val="24"/>
                <w:lang w:eastAsia="en-US"/>
              </w:rPr>
              <w:t>Производственная санитария на предприятии</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2</w:t>
            </w:r>
          </w:p>
        </w:tc>
        <w:tc>
          <w:tcPr>
            <w:tcW w:w="4253"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Требования САНПиН к оборудованию, к ПВЭМ и их размещению</w:t>
            </w:r>
          </w:p>
        </w:tc>
        <w:tc>
          <w:tcPr>
            <w:tcW w:w="992"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405"/>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Производственная санитария</w:t>
            </w: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600"/>
        </w:trPr>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3.</w:t>
            </w:r>
          </w:p>
        </w:tc>
        <w:tc>
          <w:tcPr>
            <w:tcW w:w="28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r>
              <w:rPr>
                <w:sz w:val="24"/>
                <w:szCs w:val="24"/>
                <w:lang w:eastAsia="en-US"/>
              </w:rPr>
              <w:t>Оказание первой помощи при  несчастных случаях на производстве</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6</w:t>
            </w:r>
          </w:p>
        </w:tc>
        <w:tc>
          <w:tcPr>
            <w:tcW w:w="4253"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Оказание ПП при ранении, вывихе, переломе</w:t>
            </w:r>
          </w:p>
        </w:tc>
        <w:tc>
          <w:tcPr>
            <w:tcW w:w="992"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15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Оказание ПП при укусах ядовитых животных</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615"/>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Оказание ПП при отравлениях, удушье, тепловом ударе</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126"/>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Порядок наложения давящей повязки при различных видах повреждений</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585"/>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Освобождение пострадавшего от действия электротока</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156"/>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Реанимационные мероприятия</w:t>
            </w: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70"/>
        </w:trPr>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4</w:t>
            </w:r>
          </w:p>
        </w:tc>
        <w:tc>
          <w:tcPr>
            <w:tcW w:w="28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r>
              <w:rPr>
                <w:sz w:val="24"/>
                <w:szCs w:val="24"/>
                <w:lang w:eastAsia="en-US"/>
              </w:rPr>
              <w:t>Порядок расследования несчастных случаев на производстве</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4</w:t>
            </w:r>
          </w:p>
        </w:tc>
        <w:tc>
          <w:tcPr>
            <w:tcW w:w="4253"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Создание комиссии по расследованию несчастных случаев</w:t>
            </w:r>
          </w:p>
        </w:tc>
        <w:tc>
          <w:tcPr>
            <w:tcW w:w="992"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345"/>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Акт о расследовании. Порядок информирования о несчастном случае</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188"/>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Формы документов</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55"/>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 xml:space="preserve"> Рассмотрение результатов решения комиссии</w:t>
            </w: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25"/>
        </w:trPr>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5</w:t>
            </w:r>
          </w:p>
        </w:tc>
        <w:tc>
          <w:tcPr>
            <w:tcW w:w="28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r>
              <w:rPr>
                <w:sz w:val="24"/>
                <w:szCs w:val="24"/>
                <w:lang w:eastAsia="en-US"/>
              </w:rPr>
              <w:t>Пожарная безопасность</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4</w:t>
            </w:r>
          </w:p>
        </w:tc>
        <w:tc>
          <w:tcPr>
            <w:tcW w:w="4253"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Законодательство о противопожарных мероприятиях</w:t>
            </w:r>
          </w:p>
        </w:tc>
        <w:tc>
          <w:tcPr>
            <w:tcW w:w="992"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03"/>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Локальные акты в организации</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4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Действия при пожаре</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4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rPr>
                <w:sz w:val="24"/>
                <w:szCs w:val="24"/>
                <w:lang w:eastAsia="en-US"/>
              </w:rPr>
            </w:pPr>
            <w:r>
              <w:rPr>
                <w:sz w:val="24"/>
                <w:szCs w:val="24"/>
                <w:lang w:eastAsia="en-US"/>
              </w:rPr>
              <w:t>Ответственность за несоблюдение противопожарного режима</w:t>
            </w: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180"/>
        </w:trPr>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t>6</w:t>
            </w:r>
          </w:p>
        </w:tc>
        <w:tc>
          <w:tcPr>
            <w:tcW w:w="28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p>
          <w:p w:rsidR="00567E45" w:rsidRDefault="00567E45">
            <w:pPr>
              <w:spacing w:line="256" w:lineRule="auto"/>
              <w:jc w:val="both"/>
              <w:rPr>
                <w:sz w:val="24"/>
                <w:szCs w:val="24"/>
                <w:lang w:eastAsia="en-US"/>
              </w:rPr>
            </w:pPr>
            <w:r>
              <w:rPr>
                <w:sz w:val="24"/>
                <w:szCs w:val="24"/>
                <w:lang w:eastAsia="en-US"/>
              </w:rPr>
              <w:t>Электробезопасность</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4</w:t>
            </w:r>
          </w:p>
        </w:tc>
        <w:tc>
          <w:tcPr>
            <w:tcW w:w="4253"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Сведения об электротоке</w:t>
            </w:r>
          </w:p>
        </w:tc>
        <w:tc>
          <w:tcPr>
            <w:tcW w:w="992" w:type="dxa"/>
            <w:tcBorders>
              <w:top w:val="nil"/>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27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Поражение электротоком</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300"/>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Способы освобождения от действия тока</w:t>
            </w:r>
          </w:p>
        </w:tc>
        <w:tc>
          <w:tcPr>
            <w:tcW w:w="992" w:type="dxa"/>
            <w:tcBorders>
              <w:top w:val="single" w:sz="4" w:space="0" w:color="auto"/>
              <w:left w:val="nil"/>
              <w:bottom w:val="single" w:sz="4"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629"/>
        </w:trPr>
        <w:tc>
          <w:tcPr>
            <w:tcW w:w="3539" w:type="dxa"/>
            <w:vMerge/>
            <w:tcBorders>
              <w:top w:val="nil"/>
              <w:left w:val="single" w:sz="8" w:space="0" w:color="auto"/>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2835"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850" w:type="dxa"/>
            <w:vMerge/>
            <w:tcBorders>
              <w:top w:val="nil"/>
              <w:left w:val="nil"/>
              <w:bottom w:val="single" w:sz="8" w:space="0" w:color="auto"/>
              <w:right w:val="single" w:sz="8" w:space="0" w:color="auto"/>
            </w:tcBorders>
            <w:shd w:val="clear" w:color="auto" w:fill="FFFFFF"/>
            <w:vAlign w:val="center"/>
            <w:hideMark/>
          </w:tcPr>
          <w:p w:rsidR="00567E45" w:rsidRDefault="00567E45">
            <w:pPr>
              <w:spacing w:line="256" w:lineRule="auto"/>
              <w:rPr>
                <w:sz w:val="24"/>
                <w:szCs w:val="24"/>
                <w:lang w:eastAsia="en-US"/>
              </w:rPr>
            </w:pPr>
          </w:p>
        </w:tc>
        <w:tc>
          <w:tcPr>
            <w:tcW w:w="4253"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both"/>
              <w:rPr>
                <w:sz w:val="24"/>
                <w:szCs w:val="24"/>
                <w:lang w:eastAsia="en-US"/>
              </w:rPr>
            </w:pPr>
            <w:r>
              <w:rPr>
                <w:sz w:val="24"/>
                <w:szCs w:val="24"/>
                <w:lang w:eastAsia="en-US"/>
              </w:rPr>
              <w:t>Оказание ПП при поражении током</w:t>
            </w:r>
          </w:p>
          <w:p w:rsidR="00567E45" w:rsidRDefault="00567E45">
            <w:pPr>
              <w:spacing w:line="256" w:lineRule="auto"/>
              <w:ind w:right="-2"/>
              <w:jc w:val="both"/>
              <w:rPr>
                <w:sz w:val="24"/>
                <w:szCs w:val="24"/>
                <w:lang w:eastAsia="en-US"/>
              </w:rPr>
            </w:pPr>
            <w:r>
              <w:rPr>
                <w:sz w:val="24"/>
                <w:szCs w:val="24"/>
                <w:lang w:eastAsia="en-US"/>
              </w:rPr>
              <w:t>Зачет.</w:t>
            </w: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1</w:t>
            </w:r>
          </w:p>
        </w:tc>
      </w:tr>
      <w:tr w:rsidR="00567E45" w:rsidTr="00567E45">
        <w:trPr>
          <w:trHeight w:val="375"/>
        </w:trPr>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before="100" w:beforeAutospacing="1" w:after="100" w:afterAutospacing="1" w:line="256" w:lineRule="auto"/>
              <w:jc w:val="center"/>
              <w:rPr>
                <w:sz w:val="24"/>
                <w:szCs w:val="24"/>
                <w:lang w:eastAsia="en-US"/>
              </w:rPr>
            </w:pPr>
            <w:r>
              <w:rPr>
                <w:sz w:val="24"/>
                <w:szCs w:val="24"/>
                <w:lang w:eastAsia="en-US"/>
              </w:rPr>
              <w:lastRenderedPageBreak/>
              <w:t>7</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E45" w:rsidRDefault="00567E45">
            <w:pPr>
              <w:spacing w:line="256" w:lineRule="auto"/>
              <w:jc w:val="both"/>
              <w:rPr>
                <w:sz w:val="24"/>
                <w:szCs w:val="24"/>
                <w:lang w:eastAsia="en-US"/>
              </w:rPr>
            </w:pPr>
            <w:r>
              <w:rPr>
                <w:sz w:val="24"/>
                <w:szCs w:val="24"/>
                <w:lang w:eastAsia="en-US"/>
              </w:rPr>
              <w:t xml:space="preserve"> Консультация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pPr>
              <w:spacing w:line="256" w:lineRule="auto"/>
              <w:ind w:right="-2"/>
              <w:jc w:val="center"/>
              <w:rPr>
                <w:sz w:val="24"/>
                <w:szCs w:val="24"/>
                <w:lang w:eastAsia="en-US"/>
              </w:rPr>
            </w:pPr>
            <w:r>
              <w:rPr>
                <w:sz w:val="24"/>
                <w:szCs w:val="24"/>
                <w:lang w:eastAsia="en-US"/>
              </w:rPr>
              <w:t>4</w:t>
            </w:r>
          </w:p>
        </w:tc>
        <w:tc>
          <w:tcPr>
            <w:tcW w:w="4253" w:type="dxa"/>
            <w:tcBorders>
              <w:top w:val="single" w:sz="4" w:space="0" w:color="auto"/>
              <w:left w:val="nil"/>
              <w:bottom w:val="single" w:sz="8" w:space="0" w:color="auto"/>
              <w:right w:val="single" w:sz="8" w:space="0" w:color="auto"/>
            </w:tcBorders>
            <w:shd w:val="clear" w:color="auto" w:fill="FFFFFF"/>
          </w:tcPr>
          <w:p w:rsidR="00567E45" w:rsidRDefault="00567E45">
            <w:pPr>
              <w:spacing w:line="256" w:lineRule="auto"/>
              <w:ind w:right="-2"/>
              <w:jc w:val="both"/>
              <w:rPr>
                <w:sz w:val="24"/>
                <w:szCs w:val="24"/>
                <w:lang w:eastAsia="en-US"/>
              </w:rPr>
            </w:pPr>
          </w:p>
        </w:tc>
        <w:tc>
          <w:tcPr>
            <w:tcW w:w="992" w:type="dxa"/>
            <w:tcBorders>
              <w:top w:val="single" w:sz="4" w:space="0" w:color="auto"/>
              <w:left w:val="nil"/>
              <w:bottom w:val="single" w:sz="8" w:space="0" w:color="auto"/>
              <w:right w:val="single" w:sz="8" w:space="0" w:color="auto"/>
            </w:tcBorders>
            <w:shd w:val="clear" w:color="auto" w:fill="FFFFFF"/>
            <w:hideMark/>
          </w:tcPr>
          <w:p w:rsidR="00567E45" w:rsidRDefault="00567E45">
            <w:pPr>
              <w:spacing w:line="256" w:lineRule="auto"/>
              <w:ind w:right="-2"/>
              <w:jc w:val="center"/>
              <w:rPr>
                <w:sz w:val="24"/>
                <w:szCs w:val="24"/>
                <w:lang w:eastAsia="en-US"/>
              </w:rPr>
            </w:pPr>
            <w:r>
              <w:rPr>
                <w:sz w:val="24"/>
                <w:szCs w:val="24"/>
                <w:lang w:eastAsia="en-US"/>
              </w:rPr>
              <w:t>4</w:t>
            </w:r>
          </w:p>
        </w:tc>
      </w:tr>
      <w:tr w:rsidR="00567E45" w:rsidTr="00567E45">
        <w:tc>
          <w:tcPr>
            <w:tcW w:w="3539" w:type="dxa"/>
            <w:gridSpan w:val="2"/>
            <w:tcBorders>
              <w:top w:val="nil"/>
              <w:left w:val="single" w:sz="8" w:space="0" w:color="auto"/>
              <w:bottom w:val="single" w:sz="8" w:space="0" w:color="auto"/>
              <w:right w:val="single" w:sz="8" w:space="0" w:color="auto"/>
            </w:tcBorders>
            <w:shd w:val="clear" w:color="auto" w:fill="FFFFFF"/>
            <w:hideMark/>
          </w:tcPr>
          <w:p w:rsidR="00567E45" w:rsidRDefault="00567E45">
            <w:pPr>
              <w:spacing w:before="100" w:beforeAutospacing="1" w:after="100" w:afterAutospacing="1" w:line="256" w:lineRule="auto"/>
              <w:jc w:val="center"/>
              <w:rPr>
                <w:b/>
                <w:sz w:val="24"/>
                <w:szCs w:val="24"/>
                <w:lang w:eastAsia="en-US"/>
              </w:rPr>
            </w:pPr>
            <w:r>
              <w:rPr>
                <w:b/>
                <w:sz w:val="24"/>
                <w:szCs w:val="24"/>
                <w:lang w:eastAsia="en-US"/>
              </w:rPr>
              <w:t xml:space="preserve">                                       ИТОГО:</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7E45" w:rsidRDefault="00567E45" w:rsidP="00B80E53">
            <w:pPr>
              <w:pStyle w:val="5"/>
              <w:keepLines w:val="0"/>
              <w:numPr>
                <w:ilvl w:val="4"/>
                <w:numId w:val="1"/>
              </w:numPr>
              <w:suppressAutoHyphens/>
              <w:spacing w:before="0" w:line="240" w:lineRule="auto"/>
              <w:ind w:left="0" w:right="-2"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28</w:t>
            </w:r>
          </w:p>
        </w:tc>
        <w:tc>
          <w:tcPr>
            <w:tcW w:w="4253" w:type="dxa"/>
            <w:tcBorders>
              <w:top w:val="nil"/>
              <w:left w:val="nil"/>
              <w:bottom w:val="single" w:sz="8" w:space="0" w:color="auto"/>
              <w:right w:val="single" w:sz="8" w:space="0" w:color="auto"/>
            </w:tcBorders>
            <w:shd w:val="clear" w:color="auto" w:fill="FFFFFF"/>
          </w:tcPr>
          <w:p w:rsidR="00567E45" w:rsidRDefault="00567E45" w:rsidP="00B80E53">
            <w:pPr>
              <w:pStyle w:val="5"/>
              <w:keepLines w:val="0"/>
              <w:numPr>
                <w:ilvl w:val="4"/>
                <w:numId w:val="1"/>
              </w:numPr>
              <w:suppressAutoHyphens/>
              <w:spacing w:before="0" w:line="240" w:lineRule="auto"/>
              <w:ind w:left="0" w:right="-2" w:firstLine="0"/>
              <w:jc w:val="center"/>
              <w:rPr>
                <w:rFonts w:ascii="Times New Roman" w:hAnsi="Times New Roman" w:cs="Times New Roman"/>
                <w:b/>
                <w:color w:val="auto"/>
                <w:sz w:val="24"/>
                <w:szCs w:val="24"/>
              </w:rPr>
            </w:pPr>
          </w:p>
        </w:tc>
        <w:tc>
          <w:tcPr>
            <w:tcW w:w="992" w:type="dxa"/>
            <w:tcBorders>
              <w:top w:val="nil"/>
              <w:left w:val="nil"/>
              <w:bottom w:val="single" w:sz="8" w:space="0" w:color="auto"/>
              <w:right w:val="single" w:sz="8" w:space="0" w:color="auto"/>
            </w:tcBorders>
            <w:shd w:val="clear" w:color="auto" w:fill="FFFFFF"/>
          </w:tcPr>
          <w:p w:rsidR="00567E45" w:rsidRDefault="00567E45" w:rsidP="00B80E53">
            <w:pPr>
              <w:pStyle w:val="5"/>
              <w:keepLines w:val="0"/>
              <w:numPr>
                <w:ilvl w:val="4"/>
                <w:numId w:val="1"/>
              </w:numPr>
              <w:suppressAutoHyphens/>
              <w:spacing w:before="0" w:line="240" w:lineRule="auto"/>
              <w:ind w:left="0" w:right="-2" w:firstLine="0"/>
              <w:jc w:val="center"/>
              <w:rPr>
                <w:rFonts w:ascii="Times New Roman" w:hAnsi="Times New Roman" w:cs="Times New Roman"/>
                <w:b/>
                <w:color w:val="auto"/>
                <w:sz w:val="24"/>
                <w:szCs w:val="24"/>
              </w:rPr>
            </w:pPr>
          </w:p>
        </w:tc>
      </w:tr>
    </w:tbl>
    <w:p w:rsidR="00567E45" w:rsidRDefault="00567E45" w:rsidP="00567E45">
      <w:pPr>
        <w:tabs>
          <w:tab w:val="left" w:pos="3000"/>
        </w:tabs>
      </w:pPr>
    </w:p>
    <w:p w:rsidR="00567E45" w:rsidRDefault="00567E45" w:rsidP="00567E45">
      <w:pPr>
        <w:pStyle w:val="5"/>
        <w:jc w:val="center"/>
        <w:rPr>
          <w:rFonts w:ascii="Times New Roman" w:hAnsi="Times New Roman" w:cs="Times New Roman"/>
          <w:b/>
          <w:color w:val="auto"/>
          <w:sz w:val="24"/>
          <w:szCs w:val="24"/>
        </w:rPr>
      </w:pPr>
      <w:r>
        <w:rPr>
          <w:rFonts w:ascii="Times New Roman" w:hAnsi="Times New Roman" w:cs="Times New Roman"/>
          <w:b/>
          <w:color w:val="auto"/>
          <w:sz w:val="24"/>
          <w:szCs w:val="24"/>
        </w:rPr>
        <w:t>СОДЕРЖАНИЕ</w:t>
      </w:r>
    </w:p>
    <w:p w:rsidR="00567E45" w:rsidRDefault="00567E45" w:rsidP="00567E45">
      <w:pPr>
        <w:tabs>
          <w:tab w:val="left" w:pos="1035"/>
        </w:tabs>
      </w:pPr>
      <w:r>
        <w:rPr>
          <w:b/>
          <w:sz w:val="24"/>
          <w:szCs w:val="24"/>
        </w:rPr>
        <w:t xml:space="preserve">     1</w:t>
      </w:r>
      <w:r>
        <w:rPr>
          <w:sz w:val="24"/>
          <w:szCs w:val="24"/>
        </w:rPr>
        <w:t>.</w:t>
      </w:r>
      <w:r>
        <w:rPr>
          <w:b/>
          <w:sz w:val="24"/>
          <w:szCs w:val="24"/>
        </w:rPr>
        <w:t>Основы промышленной безопасности и охраны труда в организации.</w:t>
      </w:r>
    </w:p>
    <w:p w:rsidR="00567E45" w:rsidRDefault="00567E45" w:rsidP="00567E45">
      <w:pPr>
        <w:pStyle w:val="a6"/>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обязанностей работодателем. Создание службы ОТ. Обучение и проверка знаний работников. Обучение работников для работы на производстве. </w:t>
      </w:r>
    </w:p>
    <w:p w:rsidR="00567E45" w:rsidRDefault="00567E45" w:rsidP="00567E45">
      <w:pPr>
        <w:rPr>
          <w:sz w:val="24"/>
          <w:szCs w:val="24"/>
        </w:rPr>
      </w:pPr>
      <w:r>
        <w:rPr>
          <w:b/>
          <w:sz w:val="24"/>
          <w:szCs w:val="24"/>
        </w:rPr>
        <w:t xml:space="preserve">       2.  Производственная санитария на предприятии.</w:t>
      </w:r>
    </w:p>
    <w:p w:rsidR="00567E45" w:rsidRDefault="00567E45" w:rsidP="00567E45">
      <w:pPr>
        <w:pStyle w:val="a3"/>
        <w:spacing w:before="0" w:beforeAutospacing="0" w:after="0" w:afterAutospacing="0"/>
        <w:ind w:firstLine="700"/>
        <w:jc w:val="both"/>
      </w:pPr>
      <w:r>
        <w:t>Требования САНПиН к оборудованию, к ПВЭМ и их размещению. Производственная санитария.</w:t>
      </w:r>
    </w:p>
    <w:p w:rsidR="00567E45" w:rsidRDefault="00567E45" w:rsidP="00567E45">
      <w:pPr>
        <w:tabs>
          <w:tab w:val="left" w:pos="930"/>
        </w:tabs>
        <w:rPr>
          <w:sz w:val="24"/>
          <w:szCs w:val="24"/>
        </w:rPr>
      </w:pPr>
      <w:r>
        <w:rPr>
          <w:sz w:val="24"/>
          <w:szCs w:val="24"/>
        </w:rPr>
        <w:t xml:space="preserve">   </w:t>
      </w:r>
      <w:r>
        <w:rPr>
          <w:b/>
          <w:sz w:val="24"/>
          <w:szCs w:val="24"/>
        </w:rPr>
        <w:t xml:space="preserve">  3.  Оказание первой помощи при несчастных случаях на производстве.</w:t>
      </w:r>
    </w:p>
    <w:p w:rsidR="00567E45" w:rsidRDefault="00567E45" w:rsidP="00567E45">
      <w:pPr>
        <w:pStyle w:val="a6"/>
        <w:jc w:val="both"/>
        <w:rPr>
          <w:rFonts w:ascii="Times New Roman" w:hAnsi="Times New Roman" w:cs="Times New Roman"/>
          <w:sz w:val="24"/>
          <w:szCs w:val="24"/>
        </w:rPr>
      </w:pPr>
      <w:r>
        <w:rPr>
          <w:rFonts w:ascii="Times New Roman" w:hAnsi="Times New Roman" w:cs="Times New Roman"/>
          <w:sz w:val="24"/>
          <w:szCs w:val="24"/>
        </w:rPr>
        <w:t xml:space="preserve">       Оказание ПП при ранении, вывихе, переломе. Оказание ПП при укусах ядовитых животных. Оказание ПП при отравлениях, удушье, тепловом ударе. Порядок наложения давящей повязки при различных видах повреждений. Освобождение пострадавшего от действия электротока.  Реанимационные мероприятия.</w:t>
      </w:r>
    </w:p>
    <w:p w:rsidR="00567E45" w:rsidRDefault="00567E45" w:rsidP="00567E45">
      <w:pPr>
        <w:pStyle w:val="a4"/>
        <w:rPr>
          <w:b/>
          <w:sz w:val="24"/>
          <w:szCs w:val="24"/>
        </w:rPr>
      </w:pPr>
    </w:p>
    <w:p w:rsidR="00567E45" w:rsidRDefault="00567E45" w:rsidP="00567E45">
      <w:pPr>
        <w:pStyle w:val="a3"/>
        <w:spacing w:before="0" w:beforeAutospacing="0" w:after="0" w:afterAutospacing="0"/>
        <w:jc w:val="both"/>
        <w:rPr>
          <w:b/>
          <w:sz w:val="28"/>
          <w:szCs w:val="28"/>
        </w:rPr>
      </w:pPr>
      <w:r>
        <w:rPr>
          <w:b/>
        </w:rPr>
        <w:t xml:space="preserve">    4.</w:t>
      </w:r>
      <w:r>
        <w:t xml:space="preserve"> </w:t>
      </w:r>
      <w:r>
        <w:rPr>
          <w:b/>
        </w:rPr>
        <w:t>Порядок расследования несчастных случаев на производстве Порядок расследования несчастных случаев на производстве.</w:t>
      </w:r>
    </w:p>
    <w:p w:rsidR="00567E45" w:rsidRDefault="00567E45" w:rsidP="00567E45">
      <w:pPr>
        <w:jc w:val="both"/>
        <w:rPr>
          <w:sz w:val="24"/>
          <w:szCs w:val="24"/>
        </w:rPr>
      </w:pPr>
      <w:r>
        <w:rPr>
          <w:sz w:val="24"/>
          <w:szCs w:val="24"/>
        </w:rPr>
        <w:t xml:space="preserve">      Создание комиссии по расследованию несчастных случаев. Акт о расследовании. Порядок информирования о несчастном случае. Формы документов.  Рассмотрение результатов решения комиссии.</w:t>
      </w:r>
    </w:p>
    <w:p w:rsidR="00567E45" w:rsidRDefault="00567E45" w:rsidP="00567E45">
      <w:pPr>
        <w:rPr>
          <w:sz w:val="24"/>
          <w:szCs w:val="24"/>
        </w:rPr>
      </w:pPr>
      <w:r>
        <w:rPr>
          <w:b/>
          <w:sz w:val="24"/>
          <w:szCs w:val="24"/>
        </w:rPr>
        <w:t xml:space="preserve">    </w:t>
      </w:r>
      <w:r>
        <w:rPr>
          <w:b/>
        </w:rPr>
        <w:t>5</w:t>
      </w:r>
      <w:r>
        <w:rPr>
          <w:b/>
          <w:sz w:val="24"/>
          <w:szCs w:val="24"/>
        </w:rPr>
        <w:t>.  Пожарная безопасность.</w:t>
      </w:r>
    </w:p>
    <w:p w:rsidR="00567E45" w:rsidRDefault="00567E45" w:rsidP="00567E45">
      <w:pPr>
        <w:pStyle w:val="a6"/>
        <w:jc w:val="both"/>
        <w:rPr>
          <w:rFonts w:ascii="Times New Roman" w:hAnsi="Times New Roman" w:cs="Times New Roman"/>
          <w:sz w:val="24"/>
          <w:szCs w:val="24"/>
        </w:rPr>
      </w:pPr>
      <w:r>
        <w:rPr>
          <w:rFonts w:ascii="Times New Roman" w:hAnsi="Times New Roman" w:cs="Times New Roman"/>
          <w:sz w:val="24"/>
          <w:szCs w:val="24"/>
        </w:rPr>
        <w:t xml:space="preserve">    Законодательство о противопожарных мероприятиях. Локальные акты в организации. Действия при пожаре. Ответственность за несоблюдение противопожарного режима.</w:t>
      </w:r>
    </w:p>
    <w:p w:rsidR="00567E45" w:rsidRDefault="00567E45" w:rsidP="00567E45">
      <w:pPr>
        <w:rPr>
          <w:sz w:val="24"/>
          <w:szCs w:val="24"/>
        </w:rPr>
      </w:pPr>
      <w:r>
        <w:rPr>
          <w:b/>
        </w:rPr>
        <w:t xml:space="preserve">      6</w:t>
      </w:r>
      <w:r>
        <w:rPr>
          <w:b/>
          <w:sz w:val="24"/>
          <w:szCs w:val="24"/>
        </w:rPr>
        <w:t>. Электробезопасность.</w:t>
      </w:r>
    </w:p>
    <w:p w:rsidR="00567E45" w:rsidRDefault="00567E45" w:rsidP="00567E45">
      <w:pPr>
        <w:pStyle w:val="a4"/>
        <w:rPr>
          <w:sz w:val="24"/>
          <w:szCs w:val="24"/>
        </w:rPr>
      </w:pPr>
      <w:r>
        <w:rPr>
          <w:sz w:val="24"/>
          <w:szCs w:val="24"/>
        </w:rPr>
        <w:t xml:space="preserve"> Сведения об электротоке. Поражение электротоком. Способы освобождения от действия тока</w:t>
      </w:r>
    </w:p>
    <w:p w:rsidR="00567E45" w:rsidRDefault="00567E45" w:rsidP="00567E45">
      <w:pPr>
        <w:pStyle w:val="a6"/>
        <w:jc w:val="both"/>
        <w:rPr>
          <w:rFonts w:ascii="Times New Roman" w:hAnsi="Times New Roman" w:cs="Times New Roman"/>
          <w:sz w:val="24"/>
          <w:szCs w:val="24"/>
        </w:rPr>
      </w:pPr>
      <w:r>
        <w:rPr>
          <w:rFonts w:ascii="Times New Roman" w:hAnsi="Times New Roman" w:cs="Times New Roman"/>
          <w:sz w:val="24"/>
          <w:szCs w:val="24"/>
        </w:rPr>
        <w:t xml:space="preserve">Оказание ПП при поражении током. </w:t>
      </w:r>
    </w:p>
    <w:p w:rsidR="00567E45" w:rsidRDefault="00567E45" w:rsidP="00567E45">
      <w:pPr>
        <w:pStyle w:val="a6"/>
        <w:jc w:val="both"/>
        <w:rPr>
          <w:rFonts w:ascii="Times New Roman" w:hAnsi="Times New Roman" w:cs="Times New Roman"/>
          <w:sz w:val="24"/>
          <w:szCs w:val="24"/>
        </w:rPr>
      </w:pPr>
      <w:r>
        <w:rPr>
          <w:rFonts w:ascii="Times New Roman" w:hAnsi="Times New Roman" w:cs="Times New Roman"/>
          <w:sz w:val="24"/>
          <w:szCs w:val="24"/>
        </w:rPr>
        <w:t xml:space="preserve"> Зачет.</w:t>
      </w:r>
    </w:p>
    <w:p w:rsidR="00567E45" w:rsidRDefault="00567E45" w:rsidP="00567E45">
      <w:pPr>
        <w:pStyle w:val="a4"/>
        <w:rPr>
          <w:sz w:val="24"/>
          <w:szCs w:val="24"/>
        </w:rPr>
      </w:pPr>
      <w:r>
        <w:rPr>
          <w:sz w:val="24"/>
          <w:szCs w:val="24"/>
        </w:rPr>
        <w:t xml:space="preserve">  </w:t>
      </w:r>
      <w:r>
        <w:rPr>
          <w:sz w:val="24"/>
          <w:szCs w:val="24"/>
        </w:rPr>
        <w:tab/>
      </w:r>
    </w:p>
    <w:p w:rsidR="00567E45" w:rsidRDefault="00567E45" w:rsidP="00567E45">
      <w:pPr>
        <w:tabs>
          <w:tab w:val="left" w:pos="2175"/>
        </w:tabs>
        <w:rPr>
          <w:sz w:val="24"/>
          <w:szCs w:val="24"/>
        </w:rPr>
      </w:pPr>
      <w:r>
        <w:rPr>
          <w:sz w:val="24"/>
          <w:szCs w:val="24"/>
        </w:rPr>
        <w:t xml:space="preserve">    </w:t>
      </w:r>
      <w:r>
        <w:rPr>
          <w:b/>
          <w:sz w:val="24"/>
          <w:szCs w:val="24"/>
        </w:rPr>
        <w:t>7. Консультация</w:t>
      </w:r>
      <w:r>
        <w:rPr>
          <w:sz w:val="24"/>
          <w:szCs w:val="24"/>
        </w:rPr>
        <w:t>.</w:t>
      </w:r>
      <w:r>
        <w:rPr>
          <w:sz w:val="24"/>
          <w:szCs w:val="24"/>
        </w:rPr>
        <w:tab/>
      </w:r>
    </w:p>
    <w:p w:rsidR="00567E45" w:rsidRDefault="00567E45" w:rsidP="00567E45">
      <w:pPr>
        <w:tabs>
          <w:tab w:val="left" w:pos="2175"/>
        </w:tabs>
        <w:rPr>
          <w:sz w:val="24"/>
          <w:szCs w:val="24"/>
        </w:rPr>
      </w:pPr>
    </w:p>
    <w:p w:rsidR="00567E45" w:rsidRDefault="00567E45" w:rsidP="00567E45"/>
    <w:p w:rsidR="009E6C99" w:rsidRDefault="009E6C99">
      <w:bookmarkStart w:id="0" w:name="_GoBack"/>
      <w:bookmarkEnd w:id="0"/>
    </w:p>
    <w:sectPr w:rsidR="009E6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C"/>
    <w:rsid w:val="00091BAC"/>
    <w:rsid w:val="00567E45"/>
    <w:rsid w:val="009E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67928-398B-4086-BFC5-672359CF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4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67E45"/>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5">
    <w:name w:val="heading 5"/>
    <w:basedOn w:val="a"/>
    <w:next w:val="a"/>
    <w:link w:val="50"/>
    <w:uiPriority w:val="9"/>
    <w:semiHidden/>
    <w:unhideWhenUsed/>
    <w:qFormat/>
    <w:rsid w:val="00567E45"/>
    <w:pPr>
      <w:keepNext/>
      <w:keepLines/>
      <w:spacing w:before="40" w:line="25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67E45"/>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567E45"/>
    <w:rPr>
      <w:rFonts w:asciiTheme="majorHAnsi" w:eastAsiaTheme="majorEastAsia" w:hAnsiTheme="majorHAnsi" w:cstheme="majorBidi"/>
      <w:color w:val="2E74B5" w:themeColor="accent1" w:themeShade="BF"/>
    </w:rPr>
  </w:style>
  <w:style w:type="paragraph" w:styleId="a3">
    <w:name w:val="Normal (Web)"/>
    <w:basedOn w:val="a"/>
    <w:uiPriority w:val="99"/>
    <w:semiHidden/>
    <w:unhideWhenUsed/>
    <w:rsid w:val="00567E45"/>
    <w:pPr>
      <w:spacing w:before="100" w:beforeAutospacing="1" w:after="100" w:afterAutospacing="1"/>
    </w:pPr>
    <w:rPr>
      <w:sz w:val="24"/>
      <w:szCs w:val="24"/>
    </w:rPr>
  </w:style>
  <w:style w:type="paragraph" w:styleId="a4">
    <w:name w:val="Body Text"/>
    <w:basedOn w:val="a"/>
    <w:link w:val="a5"/>
    <w:uiPriority w:val="99"/>
    <w:semiHidden/>
    <w:unhideWhenUsed/>
    <w:rsid w:val="00567E45"/>
    <w:pPr>
      <w:suppressAutoHyphens/>
      <w:jc w:val="both"/>
    </w:pPr>
    <w:rPr>
      <w:sz w:val="28"/>
      <w:lang w:eastAsia="zh-CN"/>
    </w:rPr>
  </w:style>
  <w:style w:type="character" w:customStyle="1" w:styleId="a5">
    <w:name w:val="Основной текст Знак"/>
    <w:basedOn w:val="a0"/>
    <w:link w:val="a4"/>
    <w:uiPriority w:val="99"/>
    <w:semiHidden/>
    <w:rsid w:val="00567E45"/>
    <w:rPr>
      <w:rFonts w:ascii="Times New Roman" w:eastAsia="Times New Roman" w:hAnsi="Times New Roman" w:cs="Times New Roman"/>
      <w:sz w:val="28"/>
      <w:szCs w:val="20"/>
      <w:lang w:eastAsia="zh-CN"/>
    </w:rPr>
  </w:style>
  <w:style w:type="paragraph" w:styleId="a6">
    <w:name w:val="No Spacing"/>
    <w:uiPriority w:val="1"/>
    <w:qFormat/>
    <w:rsid w:val="00567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2017-08-20T19:23:00Z</dcterms:created>
  <dcterms:modified xsi:type="dcterms:W3CDTF">2017-08-20T19:23:00Z</dcterms:modified>
</cp:coreProperties>
</file>